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0FC" w:rsidRPr="002530FC" w:rsidRDefault="002530FC" w:rsidP="002530FC">
      <w:pPr>
        <w:widowControl/>
        <w:shd w:val="clear" w:color="auto" w:fill="DDDDDD"/>
        <w:spacing w:line="525" w:lineRule="atLeast"/>
        <w:jc w:val="center"/>
        <w:rPr>
          <w:rFonts w:ascii="微软雅黑" w:eastAsia="微软雅黑" w:hAnsi="微软雅黑" w:cs="宋体"/>
          <w:color w:val="428EDC"/>
          <w:kern w:val="0"/>
          <w:sz w:val="39"/>
          <w:szCs w:val="39"/>
        </w:rPr>
      </w:pPr>
      <w:bookmarkStart w:id="0" w:name="_GoBack"/>
      <w:r w:rsidRPr="002530FC">
        <w:rPr>
          <w:rFonts w:ascii="微软雅黑" w:eastAsia="微软雅黑" w:hAnsi="微软雅黑" w:cs="宋体" w:hint="eastAsia"/>
          <w:color w:val="428EDC"/>
          <w:kern w:val="0"/>
          <w:sz w:val="39"/>
          <w:szCs w:val="39"/>
        </w:rPr>
        <w:t>科技部关于发布科技创新2030—“新一代人工智能”重大项目2021年度项目申报指南的通知</w:t>
      </w:r>
    </w:p>
    <w:bookmarkEnd w:id="0"/>
    <w:p w:rsidR="002530FC" w:rsidRPr="002530FC" w:rsidRDefault="002530FC" w:rsidP="002530FC">
      <w:pPr>
        <w:widowControl/>
        <w:shd w:val="clear" w:color="auto" w:fill="DDDDDD"/>
        <w:spacing w:line="600" w:lineRule="atLeast"/>
        <w:jc w:val="center"/>
        <w:rPr>
          <w:rFonts w:ascii="Tahoma" w:eastAsia="宋体" w:hAnsi="Tahoma" w:cs="Tahoma" w:hint="eastAsia"/>
          <w:color w:val="999999"/>
          <w:kern w:val="0"/>
          <w:sz w:val="18"/>
          <w:szCs w:val="18"/>
        </w:rPr>
      </w:pPr>
      <w:r w:rsidRPr="002530FC">
        <w:rPr>
          <w:rFonts w:ascii="Tahoma" w:eastAsia="宋体" w:hAnsi="Tahoma" w:cs="Tahoma"/>
          <w:color w:val="999999"/>
          <w:kern w:val="0"/>
          <w:sz w:val="18"/>
          <w:szCs w:val="18"/>
        </w:rPr>
        <w:t>发布时间：</w:t>
      </w:r>
      <w:r w:rsidRPr="002530FC">
        <w:rPr>
          <w:rFonts w:ascii="Tahoma" w:eastAsia="宋体" w:hAnsi="Tahoma" w:cs="Tahoma"/>
          <w:color w:val="999999"/>
          <w:kern w:val="0"/>
          <w:sz w:val="18"/>
          <w:szCs w:val="18"/>
        </w:rPr>
        <w:t xml:space="preserve"> 2021</w:t>
      </w:r>
      <w:r w:rsidRPr="002530FC">
        <w:rPr>
          <w:rFonts w:ascii="Tahoma" w:eastAsia="宋体" w:hAnsi="Tahoma" w:cs="Tahoma"/>
          <w:color w:val="999999"/>
          <w:kern w:val="0"/>
          <w:sz w:val="18"/>
          <w:szCs w:val="18"/>
        </w:rPr>
        <w:t>年</w:t>
      </w:r>
      <w:r w:rsidRPr="002530FC">
        <w:rPr>
          <w:rFonts w:ascii="Tahoma" w:eastAsia="宋体" w:hAnsi="Tahoma" w:cs="Tahoma"/>
          <w:color w:val="999999"/>
          <w:kern w:val="0"/>
          <w:sz w:val="18"/>
          <w:szCs w:val="18"/>
        </w:rPr>
        <w:t>07</w:t>
      </w:r>
      <w:r w:rsidRPr="002530FC">
        <w:rPr>
          <w:rFonts w:ascii="Tahoma" w:eastAsia="宋体" w:hAnsi="Tahoma" w:cs="Tahoma"/>
          <w:color w:val="999999"/>
          <w:kern w:val="0"/>
          <w:sz w:val="18"/>
          <w:szCs w:val="18"/>
        </w:rPr>
        <w:t>月</w:t>
      </w:r>
      <w:r w:rsidRPr="002530FC">
        <w:rPr>
          <w:rFonts w:ascii="Tahoma" w:eastAsia="宋体" w:hAnsi="Tahoma" w:cs="Tahoma"/>
          <w:color w:val="999999"/>
          <w:kern w:val="0"/>
          <w:sz w:val="18"/>
          <w:szCs w:val="18"/>
        </w:rPr>
        <w:t>06</w:t>
      </w:r>
      <w:r w:rsidRPr="002530FC">
        <w:rPr>
          <w:rFonts w:ascii="Tahoma" w:eastAsia="宋体" w:hAnsi="Tahoma" w:cs="Tahoma"/>
          <w:color w:val="999999"/>
          <w:kern w:val="0"/>
          <w:sz w:val="18"/>
          <w:szCs w:val="18"/>
        </w:rPr>
        <w:t>日</w:t>
      </w:r>
      <w:r w:rsidRPr="002530FC">
        <w:rPr>
          <w:rFonts w:ascii="Tahoma" w:eastAsia="宋体" w:hAnsi="Tahoma" w:cs="Tahoma"/>
          <w:color w:val="999999"/>
          <w:kern w:val="0"/>
          <w:sz w:val="18"/>
          <w:szCs w:val="18"/>
        </w:rPr>
        <w:t>    </w:t>
      </w:r>
      <w:r w:rsidRPr="002530FC">
        <w:rPr>
          <w:rFonts w:ascii="Tahoma" w:eastAsia="宋体" w:hAnsi="Tahoma" w:cs="Tahoma"/>
          <w:color w:val="999999"/>
          <w:kern w:val="0"/>
          <w:sz w:val="18"/>
          <w:szCs w:val="18"/>
        </w:rPr>
        <w:t>来源：科学技术部</w:t>
      </w:r>
    </w:p>
    <w:p w:rsidR="002530FC" w:rsidRPr="002530FC" w:rsidRDefault="002530FC" w:rsidP="002530FC">
      <w:pPr>
        <w:widowControl/>
        <w:shd w:val="clear" w:color="auto" w:fill="DDDDDD"/>
        <w:spacing w:before="100" w:beforeAutospacing="1" w:after="100" w:afterAutospacing="1" w:line="450" w:lineRule="atLeast"/>
        <w:jc w:val="center"/>
        <w:rPr>
          <w:rFonts w:ascii="宋体" w:eastAsia="宋体" w:hAnsi="宋体" w:cs="宋体"/>
          <w:color w:val="444444"/>
          <w:kern w:val="0"/>
          <w:sz w:val="26"/>
          <w:szCs w:val="26"/>
        </w:rPr>
      </w:pPr>
      <w:r w:rsidRPr="002530FC">
        <w:rPr>
          <w:rFonts w:ascii="宋体" w:eastAsia="宋体" w:hAnsi="宋体" w:cs="宋体" w:hint="eastAsia"/>
          <w:color w:val="444444"/>
          <w:kern w:val="0"/>
          <w:sz w:val="26"/>
          <w:szCs w:val="26"/>
        </w:rPr>
        <w:t>国</w:t>
      </w:r>
      <w:proofErr w:type="gramStart"/>
      <w:r w:rsidRPr="002530FC">
        <w:rPr>
          <w:rFonts w:ascii="宋体" w:eastAsia="宋体" w:hAnsi="宋体" w:cs="宋体" w:hint="eastAsia"/>
          <w:color w:val="444444"/>
          <w:kern w:val="0"/>
          <w:sz w:val="26"/>
          <w:szCs w:val="26"/>
        </w:rPr>
        <w:t>科发资〔2021〕</w:t>
      </w:r>
      <w:proofErr w:type="gramEnd"/>
      <w:r w:rsidRPr="002530FC">
        <w:rPr>
          <w:rFonts w:ascii="宋体" w:eastAsia="宋体" w:hAnsi="宋体" w:cs="宋体" w:hint="eastAsia"/>
          <w:color w:val="444444"/>
          <w:kern w:val="0"/>
          <w:sz w:val="26"/>
          <w:szCs w:val="26"/>
        </w:rPr>
        <w:t>191号</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各省、自治区、直辖市及计划单列市科技厅（委、局），新疆生产建设兵团科技局，国务院各有关部门，各有关单位：</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为落实国务院印发的《新一代人工智能发展规划》总体部署，现根据《新一代人工智能重大科技项目实施方案》启动实施科技创新2030—“新一代人工智能”重大项目。按照《关于深化中央财政科技计划（专项、基金等）管理改革的方案》（国发﹝2014﹞64号）的相关要求，将2021年度项目申报指南予以公布。请按照指南要求组织项目申报工作。有关事项通知如下。</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一、项目组织申报工作流程</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1. 申报单位根据指南支持方向的研究内容以项目形式组织申报，项目可下设课题。项目应整体申报，须覆盖相应指南方向的全部考核指标。项目设1名负责人，每个课题设1名负责人，项目负责人可担任其中1个课题的负责人。</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2. 项目的组织实施应整合集成全国相关领域的优势创新团队，聚焦指南任务，强化基础研究、共性关键技术研发和典型应用示范各项任务间的统筹衔接，集中力量，联合攻关。</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lastRenderedPageBreak/>
        <w:t>   3. 项目申报评审采取填写预申报书、正式申报书两步进行，具体工作流程如下。</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填写预申报书。项目申报单位根据指南相关申报要求，通过国家科技管理信息系统公共服务平台（http://service.most.gov.cn，以下简称“国科管系统”）填写并提交3000字左右的项目预申报书，详细说明申报项目的目标和指标，简要说明创新思路、技术路线和研究基础。从指南发布</w:t>
      </w:r>
      <w:proofErr w:type="gramStart"/>
      <w:r w:rsidRPr="002530FC">
        <w:rPr>
          <w:rFonts w:ascii="宋体" w:eastAsia="宋体" w:hAnsi="宋体" w:cs="宋体" w:hint="eastAsia"/>
          <w:color w:val="444444"/>
          <w:kern w:val="0"/>
          <w:sz w:val="26"/>
          <w:szCs w:val="26"/>
        </w:rPr>
        <w:t>日到预申报</w:t>
      </w:r>
      <w:proofErr w:type="gramEnd"/>
      <w:r w:rsidRPr="002530FC">
        <w:rPr>
          <w:rFonts w:ascii="宋体" w:eastAsia="宋体" w:hAnsi="宋体" w:cs="宋体" w:hint="eastAsia"/>
          <w:color w:val="444444"/>
          <w:kern w:val="0"/>
          <w:sz w:val="26"/>
          <w:szCs w:val="26"/>
        </w:rPr>
        <w:t>书受理截止日不少于50天。</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预申报书应包括相关协议和承诺。项目牵头申报单位应与所有参与单位签署联合申报协议，并明确协议签署时间；项目牵头申报单位、课题申报单位、项目负责人及课题负责人</w:t>
      </w:r>
      <w:proofErr w:type="gramStart"/>
      <w:r w:rsidRPr="002530FC">
        <w:rPr>
          <w:rFonts w:ascii="宋体" w:eastAsia="宋体" w:hAnsi="宋体" w:cs="宋体" w:hint="eastAsia"/>
          <w:color w:val="444444"/>
          <w:kern w:val="0"/>
          <w:sz w:val="26"/>
          <w:szCs w:val="26"/>
        </w:rPr>
        <w:t>须签署诚信</w:t>
      </w:r>
      <w:proofErr w:type="gramEnd"/>
      <w:r w:rsidRPr="002530FC">
        <w:rPr>
          <w:rFonts w:ascii="宋体" w:eastAsia="宋体" w:hAnsi="宋体" w:cs="宋体" w:hint="eastAsia"/>
          <w:color w:val="444444"/>
          <w:kern w:val="0"/>
          <w:sz w:val="26"/>
          <w:szCs w:val="26"/>
        </w:rPr>
        <w:t>承诺书，项目牵头申报单位及所有参与单位要落实《关于进一步加强科研诚信建设的若干意见》《关于进一步弘扬科学家精神加强作风和学风建设的意见》要求，加强对申报材料审核把关，杜绝夸大不实，甚至弄虚作假。</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预申报书须经相关单位推荐。各推荐单位加强对所推荐的项目申报材料审核把关，按时将推荐项目通过国科管系统统一报送。</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专业机构受理项目预申报书并组织首轮评审。为确保合理的竞争度，对于非定向申报的单个指南方向，若申报团队数量不多于</w:t>
      </w:r>
      <w:proofErr w:type="gramStart"/>
      <w:r w:rsidRPr="002530FC">
        <w:rPr>
          <w:rFonts w:ascii="宋体" w:eastAsia="宋体" w:hAnsi="宋体" w:cs="宋体" w:hint="eastAsia"/>
          <w:color w:val="444444"/>
          <w:kern w:val="0"/>
          <w:sz w:val="26"/>
          <w:szCs w:val="26"/>
        </w:rPr>
        <w:t>拟支持</w:t>
      </w:r>
      <w:proofErr w:type="gramEnd"/>
      <w:r w:rsidRPr="002530FC">
        <w:rPr>
          <w:rFonts w:ascii="宋体" w:eastAsia="宋体" w:hAnsi="宋体" w:cs="宋体" w:hint="eastAsia"/>
          <w:color w:val="444444"/>
          <w:kern w:val="0"/>
          <w:sz w:val="26"/>
          <w:szCs w:val="26"/>
        </w:rPr>
        <w:t>的项目数量，该指南方向不启动后续项目评审立项程序，择期重新研究发布指南。专业机构组织形式审查，并根据申报情况开展首轮评审工作。首轮评审不需要项目负责人进行答辩。根据专家的评审结果，遴选出3~</w:t>
      </w:r>
      <w:proofErr w:type="gramStart"/>
      <w:r w:rsidRPr="002530FC">
        <w:rPr>
          <w:rFonts w:ascii="宋体" w:eastAsia="宋体" w:hAnsi="宋体" w:cs="宋体" w:hint="eastAsia"/>
          <w:color w:val="444444"/>
          <w:kern w:val="0"/>
          <w:sz w:val="26"/>
          <w:szCs w:val="26"/>
        </w:rPr>
        <w:t>4倍于拟立项</w:t>
      </w:r>
      <w:proofErr w:type="gramEnd"/>
      <w:r w:rsidRPr="002530FC">
        <w:rPr>
          <w:rFonts w:ascii="宋体" w:eastAsia="宋体" w:hAnsi="宋体" w:cs="宋体" w:hint="eastAsia"/>
          <w:color w:val="444444"/>
          <w:kern w:val="0"/>
          <w:sz w:val="26"/>
          <w:szCs w:val="26"/>
        </w:rPr>
        <w:t>数量的申报项目，进入答辩评审。对于未进入答辩评审的申报项目，及时将评审结果反馈项目申报单位和负责人。</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lastRenderedPageBreak/>
        <w:t>   ——填写正式申报书。申报单位在接到专业机构关于进入答辩评审的通知后，通过国科管系统填写并提交项目正式申报书。正式申报书受理时间为30天。</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专业机构受理正式申报书并组织答辩评审。专业机构对进入答辩评审的项目申报书进行形式审查，并组织答辩评审。申报项目的负责人通过网络视频进行报告答辩。根据专家评议情况择优立项。对于</w:t>
      </w:r>
      <w:proofErr w:type="gramStart"/>
      <w:r w:rsidRPr="002530FC">
        <w:rPr>
          <w:rFonts w:ascii="宋体" w:eastAsia="宋体" w:hAnsi="宋体" w:cs="宋体" w:hint="eastAsia"/>
          <w:color w:val="444444"/>
          <w:kern w:val="0"/>
          <w:sz w:val="26"/>
          <w:szCs w:val="26"/>
        </w:rPr>
        <w:t>拟支持</w:t>
      </w:r>
      <w:proofErr w:type="gramEnd"/>
      <w:r w:rsidRPr="002530FC">
        <w:rPr>
          <w:rFonts w:ascii="宋体" w:eastAsia="宋体" w:hAnsi="宋体" w:cs="宋体" w:hint="eastAsia"/>
          <w:color w:val="444444"/>
          <w:kern w:val="0"/>
          <w:sz w:val="26"/>
          <w:szCs w:val="26"/>
        </w:rPr>
        <w:t>项目不超过4项的指南任务，是指在各项目均满足项目立项条件的情况下，该研究任务所支持项目数不超过4项；对于支持1~2项的指南任务，原则上只支持1项，如答辩评审结果前两位的申报项目评价相近，且技术路线明显不同，可同时立项支持，并建立动态调整机制，结合过程管理开展关键节点考核评估，根据评估结果确定后续支持方式。</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二、组织申报的推荐单位</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1. 国务院有关部门科技主管司局；</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2. 各省、自治区、直辖市、计划单列市及新疆生产建设兵团科技主管部门；</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3. 原工业部门转制成立的行业协会；</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4. 纳入科技</w:t>
      </w:r>
      <w:proofErr w:type="gramStart"/>
      <w:r w:rsidRPr="002530FC">
        <w:rPr>
          <w:rFonts w:ascii="宋体" w:eastAsia="宋体" w:hAnsi="宋体" w:cs="宋体" w:hint="eastAsia"/>
          <w:color w:val="444444"/>
          <w:kern w:val="0"/>
          <w:sz w:val="26"/>
          <w:szCs w:val="26"/>
        </w:rPr>
        <w:t>部试点</w:t>
      </w:r>
      <w:proofErr w:type="gramEnd"/>
      <w:r w:rsidRPr="002530FC">
        <w:rPr>
          <w:rFonts w:ascii="宋体" w:eastAsia="宋体" w:hAnsi="宋体" w:cs="宋体" w:hint="eastAsia"/>
          <w:color w:val="444444"/>
          <w:kern w:val="0"/>
          <w:sz w:val="26"/>
          <w:szCs w:val="26"/>
        </w:rPr>
        <w:t>范围并且评估结果为A类的产业技术创新战略联盟，以及纳入科技部、财政部开展的科技服务业创新发展行业试点联盟。</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各推荐单位应在本单位职能和业务范围内推荐，并对所推荐项目的真实性等负责。推荐单位名单在国科管系统上公开发布。</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三、申报资格要求</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lastRenderedPageBreak/>
        <w:t>   1. 项目牵头申报单位和参与单位应为中国大陆境内注册的科研院所、高等学校和企业等，具有独立法人资格，注册时间为2020年6月30日前，有较强的科技研发能力和条件，运行管理规范。国家机关不得牵头或参与申报。</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项目牵头申报单位、项目参与单位以及项目团队成员诚信状况良好，无在惩戒执行期内的科研严重失信行为记录和相关社会领域信用“黑名单”记录。</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申报单位同一个项目只能通过单个推荐单位申报，不得多头申报和重复申报。</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2. 项目（课题）负责人须具有高级职称或博士学位，1961年1月1日以后出生，每年用于项目的工作时间不得少于6个月。</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3. 项目（课题）负责人原则上应为该项目（课题）主体研究思路的提出者和实际主持研究的科技人员。中央和地方各级国家机关的公务人员（包括行使科技计划管理职能的其他人员）不得申报项目（课题）。</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4. 项目（课题）负责人限申报1个项目（课题）；国家科技重大专项、国家重点研发计划、科技创新2030</w:t>
      </w:r>
      <w:proofErr w:type="gramStart"/>
      <w:r w:rsidRPr="002530FC">
        <w:rPr>
          <w:rFonts w:ascii="宋体" w:eastAsia="宋体" w:hAnsi="宋体" w:cs="宋体" w:hint="eastAsia"/>
          <w:color w:val="444444"/>
          <w:kern w:val="0"/>
          <w:sz w:val="26"/>
          <w:szCs w:val="26"/>
        </w:rPr>
        <w:t>—重大</w:t>
      </w:r>
      <w:proofErr w:type="gramEnd"/>
      <w:r w:rsidRPr="002530FC">
        <w:rPr>
          <w:rFonts w:ascii="宋体" w:eastAsia="宋体" w:hAnsi="宋体" w:cs="宋体" w:hint="eastAsia"/>
          <w:color w:val="444444"/>
          <w:kern w:val="0"/>
          <w:sz w:val="26"/>
          <w:szCs w:val="26"/>
        </w:rPr>
        <w:t>项目的在</w:t>
      </w:r>
      <w:proofErr w:type="gramStart"/>
      <w:r w:rsidRPr="002530FC">
        <w:rPr>
          <w:rFonts w:ascii="宋体" w:eastAsia="宋体" w:hAnsi="宋体" w:cs="宋体" w:hint="eastAsia"/>
          <w:color w:val="444444"/>
          <w:kern w:val="0"/>
          <w:sz w:val="26"/>
          <w:szCs w:val="26"/>
        </w:rPr>
        <w:t>研</w:t>
      </w:r>
      <w:proofErr w:type="gramEnd"/>
      <w:r w:rsidRPr="002530FC">
        <w:rPr>
          <w:rFonts w:ascii="宋体" w:eastAsia="宋体" w:hAnsi="宋体" w:cs="宋体" w:hint="eastAsia"/>
          <w:color w:val="444444"/>
          <w:kern w:val="0"/>
          <w:sz w:val="26"/>
          <w:szCs w:val="26"/>
        </w:rPr>
        <w:t>项目负责人不得牵头或参与申报项目（课题），课题负责人可参与申报项目（课题）。</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项目（课题）负责人、项目骨干的申报项目（课题）和国家科技重大专项、国家重点研发计划、科技创新2030</w:t>
      </w:r>
      <w:proofErr w:type="gramStart"/>
      <w:r w:rsidRPr="002530FC">
        <w:rPr>
          <w:rFonts w:ascii="宋体" w:eastAsia="宋体" w:hAnsi="宋体" w:cs="宋体" w:hint="eastAsia"/>
          <w:color w:val="444444"/>
          <w:kern w:val="0"/>
          <w:sz w:val="26"/>
          <w:szCs w:val="26"/>
        </w:rPr>
        <w:t>—重大</w:t>
      </w:r>
      <w:proofErr w:type="gramEnd"/>
      <w:r w:rsidRPr="002530FC">
        <w:rPr>
          <w:rFonts w:ascii="宋体" w:eastAsia="宋体" w:hAnsi="宋体" w:cs="宋体" w:hint="eastAsia"/>
          <w:color w:val="444444"/>
          <w:kern w:val="0"/>
          <w:sz w:val="26"/>
          <w:szCs w:val="26"/>
        </w:rPr>
        <w:t>项目在</w:t>
      </w:r>
      <w:proofErr w:type="gramStart"/>
      <w:r w:rsidRPr="002530FC">
        <w:rPr>
          <w:rFonts w:ascii="宋体" w:eastAsia="宋体" w:hAnsi="宋体" w:cs="宋体" w:hint="eastAsia"/>
          <w:color w:val="444444"/>
          <w:kern w:val="0"/>
          <w:sz w:val="26"/>
          <w:szCs w:val="26"/>
        </w:rPr>
        <w:t>研</w:t>
      </w:r>
      <w:proofErr w:type="gramEnd"/>
      <w:r w:rsidRPr="002530FC">
        <w:rPr>
          <w:rFonts w:ascii="宋体" w:eastAsia="宋体" w:hAnsi="宋体" w:cs="宋体" w:hint="eastAsia"/>
          <w:color w:val="444444"/>
          <w:kern w:val="0"/>
          <w:sz w:val="26"/>
          <w:szCs w:val="26"/>
        </w:rPr>
        <w:t>项目（课题）总数不得超过2个；国家科技重大专项、国家重点研发计划、科技</w:t>
      </w:r>
      <w:r w:rsidRPr="002530FC">
        <w:rPr>
          <w:rFonts w:ascii="宋体" w:eastAsia="宋体" w:hAnsi="宋体" w:cs="宋体" w:hint="eastAsia"/>
          <w:color w:val="444444"/>
          <w:kern w:val="0"/>
          <w:sz w:val="26"/>
          <w:szCs w:val="26"/>
        </w:rPr>
        <w:lastRenderedPageBreak/>
        <w:t>创新2030</w:t>
      </w:r>
      <w:proofErr w:type="gramStart"/>
      <w:r w:rsidRPr="002530FC">
        <w:rPr>
          <w:rFonts w:ascii="宋体" w:eastAsia="宋体" w:hAnsi="宋体" w:cs="宋体" w:hint="eastAsia"/>
          <w:color w:val="444444"/>
          <w:kern w:val="0"/>
          <w:sz w:val="26"/>
          <w:szCs w:val="26"/>
        </w:rPr>
        <w:t>—重大</w:t>
      </w:r>
      <w:proofErr w:type="gramEnd"/>
      <w:r w:rsidRPr="002530FC">
        <w:rPr>
          <w:rFonts w:ascii="宋体" w:eastAsia="宋体" w:hAnsi="宋体" w:cs="宋体" w:hint="eastAsia"/>
          <w:color w:val="444444"/>
          <w:kern w:val="0"/>
          <w:sz w:val="26"/>
          <w:szCs w:val="26"/>
        </w:rPr>
        <w:t>项目在</w:t>
      </w:r>
      <w:proofErr w:type="gramStart"/>
      <w:r w:rsidRPr="002530FC">
        <w:rPr>
          <w:rFonts w:ascii="宋体" w:eastAsia="宋体" w:hAnsi="宋体" w:cs="宋体" w:hint="eastAsia"/>
          <w:color w:val="444444"/>
          <w:kern w:val="0"/>
          <w:sz w:val="26"/>
          <w:szCs w:val="26"/>
        </w:rPr>
        <w:t>研</w:t>
      </w:r>
      <w:proofErr w:type="gramEnd"/>
      <w:r w:rsidRPr="002530FC">
        <w:rPr>
          <w:rFonts w:ascii="宋体" w:eastAsia="宋体" w:hAnsi="宋体" w:cs="宋体" w:hint="eastAsia"/>
          <w:color w:val="444444"/>
          <w:kern w:val="0"/>
          <w:sz w:val="26"/>
          <w:szCs w:val="26"/>
        </w:rPr>
        <w:t>项目（课题）负责人不得因申报新项目（课题）而退出目前承担的项目；退出项目研发团队后，在原项目执行期内原则上不得牵头或参与申报</w:t>
      </w:r>
      <w:proofErr w:type="gramStart"/>
      <w:r w:rsidRPr="002530FC">
        <w:rPr>
          <w:rFonts w:ascii="宋体" w:eastAsia="宋体" w:hAnsi="宋体" w:cs="宋体" w:hint="eastAsia"/>
          <w:color w:val="444444"/>
          <w:kern w:val="0"/>
          <w:sz w:val="26"/>
          <w:szCs w:val="26"/>
        </w:rPr>
        <w:t>本重大</w:t>
      </w:r>
      <w:proofErr w:type="gramEnd"/>
      <w:r w:rsidRPr="002530FC">
        <w:rPr>
          <w:rFonts w:ascii="宋体" w:eastAsia="宋体" w:hAnsi="宋体" w:cs="宋体" w:hint="eastAsia"/>
          <w:color w:val="444444"/>
          <w:kern w:val="0"/>
          <w:sz w:val="26"/>
          <w:szCs w:val="26"/>
        </w:rPr>
        <w:t>项目。</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计划任务书执行期（包括延期后的执行期）到2021年12月31日之前的在</w:t>
      </w:r>
      <w:proofErr w:type="gramStart"/>
      <w:r w:rsidRPr="002530FC">
        <w:rPr>
          <w:rFonts w:ascii="宋体" w:eastAsia="宋体" w:hAnsi="宋体" w:cs="宋体" w:hint="eastAsia"/>
          <w:color w:val="444444"/>
          <w:kern w:val="0"/>
          <w:sz w:val="26"/>
          <w:szCs w:val="26"/>
        </w:rPr>
        <w:t>研</w:t>
      </w:r>
      <w:proofErr w:type="gramEnd"/>
      <w:r w:rsidRPr="002530FC">
        <w:rPr>
          <w:rFonts w:ascii="宋体" w:eastAsia="宋体" w:hAnsi="宋体" w:cs="宋体" w:hint="eastAsia"/>
          <w:color w:val="444444"/>
          <w:kern w:val="0"/>
          <w:sz w:val="26"/>
          <w:szCs w:val="26"/>
        </w:rPr>
        <w:t>项目（</w:t>
      </w:r>
      <w:proofErr w:type="gramStart"/>
      <w:r w:rsidRPr="002530FC">
        <w:rPr>
          <w:rFonts w:ascii="宋体" w:eastAsia="宋体" w:hAnsi="宋体" w:cs="宋体" w:hint="eastAsia"/>
          <w:color w:val="444444"/>
          <w:kern w:val="0"/>
          <w:sz w:val="26"/>
          <w:szCs w:val="26"/>
        </w:rPr>
        <w:t>含任务</w:t>
      </w:r>
      <w:proofErr w:type="gramEnd"/>
      <w:r w:rsidRPr="002530FC">
        <w:rPr>
          <w:rFonts w:ascii="宋体" w:eastAsia="宋体" w:hAnsi="宋体" w:cs="宋体" w:hint="eastAsia"/>
          <w:color w:val="444444"/>
          <w:kern w:val="0"/>
          <w:sz w:val="26"/>
          <w:szCs w:val="26"/>
        </w:rPr>
        <w:t>或课题）不在限项范围内。</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5. 参与</w:t>
      </w:r>
      <w:proofErr w:type="gramStart"/>
      <w:r w:rsidRPr="002530FC">
        <w:rPr>
          <w:rFonts w:ascii="宋体" w:eastAsia="宋体" w:hAnsi="宋体" w:cs="宋体" w:hint="eastAsia"/>
          <w:color w:val="444444"/>
          <w:kern w:val="0"/>
          <w:sz w:val="26"/>
          <w:szCs w:val="26"/>
        </w:rPr>
        <w:t>本重大</w:t>
      </w:r>
      <w:proofErr w:type="gramEnd"/>
      <w:r w:rsidRPr="002530FC">
        <w:rPr>
          <w:rFonts w:ascii="宋体" w:eastAsia="宋体" w:hAnsi="宋体" w:cs="宋体" w:hint="eastAsia"/>
          <w:color w:val="444444"/>
          <w:kern w:val="0"/>
          <w:sz w:val="26"/>
          <w:szCs w:val="26"/>
        </w:rPr>
        <w:t>项目实施方案或本年度项目指南编制的专家，不能申报项目（课题）。</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6. 受聘于内地单位的外籍科学家及港、澳、台地区科学家可作为项目（课题）负责人，全职受聘人员须由内地聘用单位提供全职聘用的有效材料，非全职受聘人员须由内地聘用单位和境外单位同时提供聘用的有效材料，并作为项目预申报材料一并提交。</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7. 申报项目受理后，原则上不能更改申报单位和负责人。</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8. 项目的具体申报要求，详见项目申报指南。有特殊规定的，从其规定。</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各申报单位在正式提交项目申报书前可利用国科管系统查询相关科研人员承担国家科技重大专项、国家重点研发计划重点专项、科技创新2030</w:t>
      </w:r>
      <w:proofErr w:type="gramStart"/>
      <w:r w:rsidRPr="002530FC">
        <w:rPr>
          <w:rFonts w:ascii="宋体" w:eastAsia="宋体" w:hAnsi="宋体" w:cs="宋体" w:hint="eastAsia"/>
          <w:color w:val="444444"/>
          <w:kern w:val="0"/>
          <w:sz w:val="26"/>
          <w:szCs w:val="26"/>
        </w:rPr>
        <w:t>—重大</w:t>
      </w:r>
      <w:proofErr w:type="gramEnd"/>
      <w:r w:rsidRPr="002530FC">
        <w:rPr>
          <w:rFonts w:ascii="宋体" w:eastAsia="宋体" w:hAnsi="宋体" w:cs="宋体" w:hint="eastAsia"/>
          <w:color w:val="444444"/>
          <w:kern w:val="0"/>
          <w:sz w:val="26"/>
          <w:szCs w:val="26"/>
        </w:rPr>
        <w:t>项目在</w:t>
      </w:r>
      <w:proofErr w:type="gramStart"/>
      <w:r w:rsidRPr="002530FC">
        <w:rPr>
          <w:rFonts w:ascii="宋体" w:eastAsia="宋体" w:hAnsi="宋体" w:cs="宋体" w:hint="eastAsia"/>
          <w:color w:val="444444"/>
          <w:kern w:val="0"/>
          <w:sz w:val="26"/>
          <w:szCs w:val="26"/>
        </w:rPr>
        <w:t>研</w:t>
      </w:r>
      <w:proofErr w:type="gramEnd"/>
      <w:r w:rsidRPr="002530FC">
        <w:rPr>
          <w:rFonts w:ascii="宋体" w:eastAsia="宋体" w:hAnsi="宋体" w:cs="宋体" w:hint="eastAsia"/>
          <w:color w:val="444444"/>
          <w:kern w:val="0"/>
          <w:sz w:val="26"/>
          <w:szCs w:val="26"/>
        </w:rPr>
        <w:t>项目（</w:t>
      </w:r>
      <w:proofErr w:type="gramStart"/>
      <w:r w:rsidRPr="002530FC">
        <w:rPr>
          <w:rFonts w:ascii="宋体" w:eastAsia="宋体" w:hAnsi="宋体" w:cs="宋体" w:hint="eastAsia"/>
          <w:color w:val="444444"/>
          <w:kern w:val="0"/>
          <w:sz w:val="26"/>
          <w:szCs w:val="26"/>
        </w:rPr>
        <w:t>含任务</w:t>
      </w:r>
      <w:proofErr w:type="gramEnd"/>
      <w:r w:rsidRPr="002530FC">
        <w:rPr>
          <w:rFonts w:ascii="宋体" w:eastAsia="宋体" w:hAnsi="宋体" w:cs="宋体" w:hint="eastAsia"/>
          <w:color w:val="444444"/>
          <w:kern w:val="0"/>
          <w:sz w:val="26"/>
          <w:szCs w:val="26"/>
        </w:rPr>
        <w:t>或课题）情况，避免重复申报。</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四、具体申报方式</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1. 网上填报。请各申报单位按要求通过国科管系统进行网上填报。专业机构将以网上填报的申报书作为后续形式审查、项目评审的依据。申报材料中所需的附件材料，全部以电子扫描件上传。确因疫情影</w:t>
      </w:r>
      <w:r w:rsidRPr="002530FC">
        <w:rPr>
          <w:rFonts w:ascii="宋体" w:eastAsia="宋体" w:hAnsi="宋体" w:cs="宋体" w:hint="eastAsia"/>
          <w:color w:val="444444"/>
          <w:kern w:val="0"/>
          <w:sz w:val="26"/>
          <w:szCs w:val="26"/>
        </w:rPr>
        <w:lastRenderedPageBreak/>
        <w:t>响暂时无法提供的，请上传依托单位出具的说明材料扫描件，项目管理专业机构将根据情况通知补交。</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项目申报单位网上填报预申报书的受理时间为：2021年7月30日8:00至8月26日16:00。进入答辩评审环节的申报项目，由申报单位按要求填报正式申报书，并通过国科管系统提交，具体时间和有关要求另行通知。</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2. 组织推荐。请各推荐单位于2021年8月31日16:00前通过国科管系统逐项确认推荐项目，并将加盖推荐单位公章的</w:t>
      </w:r>
      <w:proofErr w:type="gramStart"/>
      <w:r w:rsidRPr="002530FC">
        <w:rPr>
          <w:rFonts w:ascii="宋体" w:eastAsia="宋体" w:hAnsi="宋体" w:cs="宋体" w:hint="eastAsia"/>
          <w:color w:val="444444"/>
          <w:kern w:val="0"/>
          <w:sz w:val="26"/>
          <w:szCs w:val="26"/>
        </w:rPr>
        <w:t>推荐函以电子扫描</w:t>
      </w:r>
      <w:proofErr w:type="gramEnd"/>
      <w:r w:rsidRPr="002530FC">
        <w:rPr>
          <w:rFonts w:ascii="宋体" w:eastAsia="宋体" w:hAnsi="宋体" w:cs="宋体" w:hint="eastAsia"/>
          <w:color w:val="444444"/>
          <w:kern w:val="0"/>
          <w:sz w:val="26"/>
          <w:szCs w:val="26"/>
        </w:rPr>
        <w:t>件上传。</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3. 技术咨询电话及邮箱：</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010-58882999（中继线），</w:t>
      </w:r>
      <w:hyperlink r:id="rId4" w:history="1">
        <w:r w:rsidRPr="002530FC">
          <w:rPr>
            <w:rFonts w:ascii="宋体" w:eastAsia="宋体" w:hAnsi="宋体" w:cs="宋体" w:hint="eastAsia"/>
            <w:color w:val="0000FF"/>
            <w:kern w:val="0"/>
            <w:sz w:val="26"/>
            <w:szCs w:val="26"/>
            <w:u w:val="single"/>
          </w:rPr>
          <w:t>program@istic.ac.cn</w:t>
        </w:r>
      </w:hyperlink>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4. 业务咨询电话：</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科学技术部高技术研究发展中心，010-68104417</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pict>
          <v:rect id="_x0000_i1025" style="width:0;height:1.5pt" o:hralign="center" o:hrstd="t" o:hr="t" fillcolor="#a0a0a0" stroked="f"/>
        </w:pic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附件：</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hyperlink r:id="rId5" w:history="1">
        <w:r w:rsidRPr="002530FC">
          <w:rPr>
            <w:rFonts w:ascii="宋体" w:eastAsia="宋体" w:hAnsi="宋体" w:cs="宋体" w:hint="eastAsia"/>
            <w:color w:val="0000FF"/>
            <w:kern w:val="0"/>
            <w:sz w:val="26"/>
            <w:szCs w:val="26"/>
            <w:u w:val="single"/>
          </w:rPr>
          <w:t>科技创新2030—“新一代人工智能”重大项目2021年度项目申报指南</w:t>
        </w:r>
      </w:hyperlink>
      <w:r w:rsidRPr="002530FC">
        <w:rPr>
          <w:rFonts w:ascii="宋体" w:eastAsia="宋体" w:hAnsi="宋体" w:cs="宋体" w:hint="eastAsia"/>
          <w:color w:val="444444"/>
          <w:kern w:val="0"/>
          <w:sz w:val="26"/>
          <w:szCs w:val="26"/>
        </w:rPr>
        <w:t>（</w:t>
      </w:r>
      <w:hyperlink r:id="rId6" w:history="1">
        <w:r w:rsidRPr="002530FC">
          <w:rPr>
            <w:rFonts w:ascii="宋体" w:eastAsia="宋体" w:hAnsi="宋体" w:cs="宋体" w:hint="eastAsia"/>
            <w:color w:val="0000FF"/>
            <w:kern w:val="0"/>
            <w:sz w:val="26"/>
            <w:szCs w:val="26"/>
            <w:u w:val="single"/>
          </w:rPr>
          <w:t>形式审查条件要求</w:t>
        </w:r>
      </w:hyperlink>
      <w:r w:rsidRPr="002530FC">
        <w:rPr>
          <w:rFonts w:ascii="宋体" w:eastAsia="宋体" w:hAnsi="宋体" w:cs="宋体" w:hint="eastAsia"/>
          <w:color w:val="444444"/>
          <w:kern w:val="0"/>
          <w:sz w:val="26"/>
          <w:szCs w:val="26"/>
        </w:rPr>
        <w:t>、</w:t>
      </w:r>
      <w:hyperlink r:id="rId7" w:history="1">
        <w:r w:rsidRPr="002530FC">
          <w:rPr>
            <w:rFonts w:ascii="宋体" w:eastAsia="宋体" w:hAnsi="宋体" w:cs="宋体" w:hint="eastAsia"/>
            <w:color w:val="0000FF"/>
            <w:kern w:val="0"/>
            <w:sz w:val="26"/>
            <w:szCs w:val="26"/>
            <w:u w:val="single"/>
          </w:rPr>
          <w:t>指南编制专家名单</w:t>
        </w:r>
      </w:hyperlink>
      <w:r w:rsidRPr="002530FC">
        <w:rPr>
          <w:rFonts w:ascii="宋体" w:eastAsia="宋体" w:hAnsi="宋体" w:cs="宋体" w:hint="eastAsia"/>
          <w:color w:val="444444"/>
          <w:kern w:val="0"/>
          <w:sz w:val="26"/>
          <w:szCs w:val="26"/>
        </w:rPr>
        <w:t>）</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w:t>
      </w:r>
    </w:p>
    <w:p w:rsidR="002530FC" w:rsidRPr="002530FC" w:rsidRDefault="002530FC" w:rsidP="002530FC">
      <w:pPr>
        <w:widowControl/>
        <w:shd w:val="clear" w:color="auto" w:fill="DDDDDD"/>
        <w:spacing w:line="450" w:lineRule="atLeast"/>
        <w:jc w:val="lef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 </w:t>
      </w:r>
    </w:p>
    <w:p w:rsidR="002530FC" w:rsidRPr="002530FC" w:rsidRDefault="002530FC" w:rsidP="002530FC">
      <w:pPr>
        <w:widowControl/>
        <w:shd w:val="clear" w:color="auto" w:fill="DDDDDD"/>
        <w:spacing w:line="450" w:lineRule="atLeast"/>
        <w:jc w:val="righ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科技部   </w:t>
      </w:r>
    </w:p>
    <w:p w:rsidR="002530FC" w:rsidRPr="002530FC" w:rsidRDefault="002530FC" w:rsidP="002530FC">
      <w:pPr>
        <w:widowControl/>
        <w:shd w:val="clear" w:color="auto" w:fill="DDDDDD"/>
        <w:spacing w:line="450" w:lineRule="atLeast"/>
        <w:jc w:val="right"/>
        <w:rPr>
          <w:rFonts w:ascii="宋体" w:eastAsia="宋体" w:hAnsi="宋体" w:cs="宋体" w:hint="eastAsia"/>
          <w:color w:val="444444"/>
          <w:kern w:val="0"/>
          <w:sz w:val="26"/>
          <w:szCs w:val="26"/>
        </w:rPr>
      </w:pPr>
      <w:r w:rsidRPr="002530FC">
        <w:rPr>
          <w:rFonts w:ascii="宋体" w:eastAsia="宋体" w:hAnsi="宋体" w:cs="宋体" w:hint="eastAsia"/>
          <w:color w:val="444444"/>
          <w:kern w:val="0"/>
          <w:sz w:val="26"/>
          <w:szCs w:val="26"/>
        </w:rPr>
        <w:t>2021年7月1日</w:t>
      </w:r>
    </w:p>
    <w:p w:rsidR="0022091F" w:rsidRDefault="0022091F">
      <w:pPr>
        <w:rPr>
          <w:rFonts w:hint="eastAsia"/>
        </w:rPr>
      </w:pPr>
    </w:p>
    <w:sectPr w:rsidR="002209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charset w:val="86"/>
    <w:family w:val="swiss"/>
    <w:pitch w:val="variable"/>
    <w:sig w:usb0="80000287" w:usb1="280F3C52" w:usb2="00000016" w:usb3="00000000" w:csb0="0004001F" w:csb1="00000000"/>
  </w:font>
  <w:font w:name="Tahoma">
    <w:charset w:val="00"/>
    <w:family w:val="swiss"/>
    <w:pitch w:val="variable"/>
    <w:sig w:usb0="E1002EFF" w:usb1="C000605B" w:usb2="00000029" w:usb3="00000000" w:csb0="000101FF" w:csb1="00000000"/>
  </w:font>
  <w:font w:name="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A7F"/>
    <w:rsid w:val="0022091F"/>
    <w:rsid w:val="002530FC"/>
    <w:rsid w:val="00861A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68CDB2-0FF2-438E-9477-2EFEC1E06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30FC"/>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2530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326890">
      <w:bodyDiv w:val="1"/>
      <w:marLeft w:val="0"/>
      <w:marRight w:val="0"/>
      <w:marTop w:val="0"/>
      <w:marBottom w:val="0"/>
      <w:divBdr>
        <w:top w:val="none" w:sz="0" w:space="0" w:color="auto"/>
        <w:left w:val="none" w:sz="0" w:space="0" w:color="auto"/>
        <w:bottom w:val="none" w:sz="0" w:space="0" w:color="auto"/>
        <w:right w:val="none" w:sz="0" w:space="0" w:color="auto"/>
      </w:divBdr>
      <w:divsChild>
        <w:div w:id="1936207625">
          <w:marLeft w:val="0"/>
          <w:marRight w:val="0"/>
          <w:marTop w:val="0"/>
          <w:marBottom w:val="300"/>
          <w:divBdr>
            <w:top w:val="none" w:sz="0" w:space="0" w:color="auto"/>
            <w:left w:val="none" w:sz="0" w:space="0" w:color="auto"/>
            <w:bottom w:val="dashed" w:sz="6" w:space="0" w:color="999999"/>
            <w:right w:val="none" w:sz="0" w:space="0" w:color="auto"/>
          </w:divBdr>
        </w:div>
        <w:div w:id="1636369950">
          <w:marLeft w:val="0"/>
          <w:marRight w:val="0"/>
          <w:marTop w:val="0"/>
          <w:marBottom w:val="0"/>
          <w:divBdr>
            <w:top w:val="none" w:sz="0" w:space="0" w:color="auto"/>
            <w:left w:val="none" w:sz="0" w:space="0" w:color="auto"/>
            <w:bottom w:val="none" w:sz="0" w:space="0" w:color="auto"/>
            <w:right w:val="none" w:sz="0" w:space="0" w:color="auto"/>
          </w:divBdr>
          <w:divsChild>
            <w:div w:id="2053847824">
              <w:marLeft w:val="0"/>
              <w:marRight w:val="0"/>
              <w:marTop w:val="0"/>
              <w:marBottom w:val="0"/>
              <w:divBdr>
                <w:top w:val="none" w:sz="0" w:space="0" w:color="auto"/>
                <w:left w:val="none" w:sz="0" w:space="0" w:color="auto"/>
                <w:bottom w:val="none" w:sz="0" w:space="0" w:color="auto"/>
                <w:right w:val="none" w:sz="0" w:space="0" w:color="auto"/>
              </w:divBdr>
            </w:div>
            <w:div w:id="1853957748">
              <w:marLeft w:val="0"/>
              <w:marRight w:val="0"/>
              <w:marTop w:val="0"/>
              <w:marBottom w:val="0"/>
              <w:divBdr>
                <w:top w:val="none" w:sz="0" w:space="0" w:color="auto"/>
                <w:left w:val="none" w:sz="0" w:space="0" w:color="auto"/>
                <w:bottom w:val="none" w:sz="0" w:space="0" w:color="auto"/>
                <w:right w:val="none" w:sz="0" w:space="0" w:color="auto"/>
              </w:divBdr>
            </w:div>
            <w:div w:id="846821503">
              <w:marLeft w:val="0"/>
              <w:marRight w:val="0"/>
              <w:marTop w:val="0"/>
              <w:marBottom w:val="0"/>
              <w:divBdr>
                <w:top w:val="none" w:sz="0" w:space="0" w:color="auto"/>
                <w:left w:val="none" w:sz="0" w:space="0" w:color="auto"/>
                <w:bottom w:val="none" w:sz="0" w:space="0" w:color="auto"/>
                <w:right w:val="none" w:sz="0" w:space="0" w:color="auto"/>
              </w:divBdr>
            </w:div>
            <w:div w:id="1266109202">
              <w:marLeft w:val="0"/>
              <w:marRight w:val="0"/>
              <w:marTop w:val="0"/>
              <w:marBottom w:val="0"/>
              <w:divBdr>
                <w:top w:val="none" w:sz="0" w:space="0" w:color="auto"/>
                <w:left w:val="none" w:sz="0" w:space="0" w:color="auto"/>
                <w:bottom w:val="none" w:sz="0" w:space="0" w:color="auto"/>
                <w:right w:val="none" w:sz="0" w:space="0" w:color="auto"/>
              </w:divBdr>
            </w:div>
            <w:div w:id="462431010">
              <w:marLeft w:val="0"/>
              <w:marRight w:val="0"/>
              <w:marTop w:val="0"/>
              <w:marBottom w:val="0"/>
              <w:divBdr>
                <w:top w:val="none" w:sz="0" w:space="0" w:color="auto"/>
                <w:left w:val="none" w:sz="0" w:space="0" w:color="auto"/>
                <w:bottom w:val="none" w:sz="0" w:space="0" w:color="auto"/>
                <w:right w:val="none" w:sz="0" w:space="0" w:color="auto"/>
              </w:divBdr>
            </w:div>
            <w:div w:id="1523546469">
              <w:marLeft w:val="0"/>
              <w:marRight w:val="0"/>
              <w:marTop w:val="0"/>
              <w:marBottom w:val="0"/>
              <w:divBdr>
                <w:top w:val="none" w:sz="0" w:space="0" w:color="auto"/>
                <w:left w:val="none" w:sz="0" w:space="0" w:color="auto"/>
                <w:bottom w:val="none" w:sz="0" w:space="0" w:color="auto"/>
                <w:right w:val="none" w:sz="0" w:space="0" w:color="auto"/>
              </w:divBdr>
            </w:div>
            <w:div w:id="947784377">
              <w:marLeft w:val="0"/>
              <w:marRight w:val="0"/>
              <w:marTop w:val="0"/>
              <w:marBottom w:val="0"/>
              <w:divBdr>
                <w:top w:val="none" w:sz="0" w:space="0" w:color="auto"/>
                <w:left w:val="none" w:sz="0" w:space="0" w:color="auto"/>
                <w:bottom w:val="none" w:sz="0" w:space="0" w:color="auto"/>
                <w:right w:val="none" w:sz="0" w:space="0" w:color="auto"/>
              </w:divBdr>
            </w:div>
            <w:div w:id="1596477718">
              <w:marLeft w:val="0"/>
              <w:marRight w:val="0"/>
              <w:marTop w:val="0"/>
              <w:marBottom w:val="0"/>
              <w:divBdr>
                <w:top w:val="none" w:sz="0" w:space="0" w:color="auto"/>
                <w:left w:val="none" w:sz="0" w:space="0" w:color="auto"/>
                <w:bottom w:val="none" w:sz="0" w:space="0" w:color="auto"/>
                <w:right w:val="none" w:sz="0" w:space="0" w:color="auto"/>
              </w:divBdr>
            </w:div>
            <w:div w:id="1675036052">
              <w:marLeft w:val="0"/>
              <w:marRight w:val="0"/>
              <w:marTop w:val="0"/>
              <w:marBottom w:val="0"/>
              <w:divBdr>
                <w:top w:val="none" w:sz="0" w:space="0" w:color="auto"/>
                <w:left w:val="none" w:sz="0" w:space="0" w:color="auto"/>
                <w:bottom w:val="none" w:sz="0" w:space="0" w:color="auto"/>
                <w:right w:val="none" w:sz="0" w:space="0" w:color="auto"/>
              </w:divBdr>
            </w:div>
            <w:div w:id="40174655">
              <w:marLeft w:val="0"/>
              <w:marRight w:val="0"/>
              <w:marTop w:val="0"/>
              <w:marBottom w:val="0"/>
              <w:divBdr>
                <w:top w:val="none" w:sz="0" w:space="0" w:color="auto"/>
                <w:left w:val="none" w:sz="0" w:space="0" w:color="auto"/>
                <w:bottom w:val="none" w:sz="0" w:space="0" w:color="auto"/>
                <w:right w:val="none" w:sz="0" w:space="0" w:color="auto"/>
              </w:divBdr>
            </w:div>
            <w:div w:id="1659382166">
              <w:marLeft w:val="0"/>
              <w:marRight w:val="0"/>
              <w:marTop w:val="0"/>
              <w:marBottom w:val="0"/>
              <w:divBdr>
                <w:top w:val="none" w:sz="0" w:space="0" w:color="auto"/>
                <w:left w:val="none" w:sz="0" w:space="0" w:color="auto"/>
                <w:bottom w:val="none" w:sz="0" w:space="0" w:color="auto"/>
                <w:right w:val="none" w:sz="0" w:space="0" w:color="auto"/>
              </w:divBdr>
            </w:div>
            <w:div w:id="2058357849">
              <w:marLeft w:val="0"/>
              <w:marRight w:val="0"/>
              <w:marTop w:val="0"/>
              <w:marBottom w:val="0"/>
              <w:divBdr>
                <w:top w:val="none" w:sz="0" w:space="0" w:color="auto"/>
                <w:left w:val="none" w:sz="0" w:space="0" w:color="auto"/>
                <w:bottom w:val="none" w:sz="0" w:space="0" w:color="auto"/>
                <w:right w:val="none" w:sz="0" w:space="0" w:color="auto"/>
              </w:divBdr>
            </w:div>
            <w:div w:id="751514892">
              <w:marLeft w:val="0"/>
              <w:marRight w:val="0"/>
              <w:marTop w:val="0"/>
              <w:marBottom w:val="0"/>
              <w:divBdr>
                <w:top w:val="none" w:sz="0" w:space="0" w:color="auto"/>
                <w:left w:val="none" w:sz="0" w:space="0" w:color="auto"/>
                <w:bottom w:val="none" w:sz="0" w:space="0" w:color="auto"/>
                <w:right w:val="none" w:sz="0" w:space="0" w:color="auto"/>
              </w:divBdr>
            </w:div>
            <w:div w:id="890993054">
              <w:marLeft w:val="0"/>
              <w:marRight w:val="0"/>
              <w:marTop w:val="0"/>
              <w:marBottom w:val="0"/>
              <w:divBdr>
                <w:top w:val="none" w:sz="0" w:space="0" w:color="auto"/>
                <w:left w:val="none" w:sz="0" w:space="0" w:color="auto"/>
                <w:bottom w:val="none" w:sz="0" w:space="0" w:color="auto"/>
                <w:right w:val="none" w:sz="0" w:space="0" w:color="auto"/>
              </w:divBdr>
            </w:div>
            <w:div w:id="1081803362">
              <w:marLeft w:val="0"/>
              <w:marRight w:val="0"/>
              <w:marTop w:val="0"/>
              <w:marBottom w:val="0"/>
              <w:divBdr>
                <w:top w:val="none" w:sz="0" w:space="0" w:color="auto"/>
                <w:left w:val="none" w:sz="0" w:space="0" w:color="auto"/>
                <w:bottom w:val="none" w:sz="0" w:space="0" w:color="auto"/>
                <w:right w:val="none" w:sz="0" w:space="0" w:color="auto"/>
              </w:divBdr>
            </w:div>
            <w:div w:id="1705598388">
              <w:marLeft w:val="0"/>
              <w:marRight w:val="0"/>
              <w:marTop w:val="0"/>
              <w:marBottom w:val="0"/>
              <w:divBdr>
                <w:top w:val="none" w:sz="0" w:space="0" w:color="auto"/>
                <w:left w:val="none" w:sz="0" w:space="0" w:color="auto"/>
                <w:bottom w:val="none" w:sz="0" w:space="0" w:color="auto"/>
                <w:right w:val="none" w:sz="0" w:space="0" w:color="auto"/>
              </w:divBdr>
            </w:div>
            <w:div w:id="1878858076">
              <w:marLeft w:val="0"/>
              <w:marRight w:val="0"/>
              <w:marTop w:val="0"/>
              <w:marBottom w:val="0"/>
              <w:divBdr>
                <w:top w:val="none" w:sz="0" w:space="0" w:color="auto"/>
                <w:left w:val="none" w:sz="0" w:space="0" w:color="auto"/>
                <w:bottom w:val="none" w:sz="0" w:space="0" w:color="auto"/>
                <w:right w:val="none" w:sz="0" w:space="0" w:color="auto"/>
              </w:divBdr>
            </w:div>
            <w:div w:id="1809319938">
              <w:marLeft w:val="0"/>
              <w:marRight w:val="0"/>
              <w:marTop w:val="0"/>
              <w:marBottom w:val="0"/>
              <w:divBdr>
                <w:top w:val="none" w:sz="0" w:space="0" w:color="auto"/>
                <w:left w:val="none" w:sz="0" w:space="0" w:color="auto"/>
                <w:bottom w:val="none" w:sz="0" w:space="0" w:color="auto"/>
                <w:right w:val="none" w:sz="0" w:space="0" w:color="auto"/>
              </w:divBdr>
            </w:div>
            <w:div w:id="1321690181">
              <w:marLeft w:val="0"/>
              <w:marRight w:val="0"/>
              <w:marTop w:val="0"/>
              <w:marBottom w:val="0"/>
              <w:divBdr>
                <w:top w:val="none" w:sz="0" w:space="0" w:color="auto"/>
                <w:left w:val="none" w:sz="0" w:space="0" w:color="auto"/>
                <w:bottom w:val="none" w:sz="0" w:space="0" w:color="auto"/>
                <w:right w:val="none" w:sz="0" w:space="0" w:color="auto"/>
              </w:divBdr>
            </w:div>
            <w:div w:id="1167551846">
              <w:marLeft w:val="0"/>
              <w:marRight w:val="0"/>
              <w:marTop w:val="0"/>
              <w:marBottom w:val="0"/>
              <w:divBdr>
                <w:top w:val="none" w:sz="0" w:space="0" w:color="auto"/>
                <w:left w:val="none" w:sz="0" w:space="0" w:color="auto"/>
                <w:bottom w:val="none" w:sz="0" w:space="0" w:color="auto"/>
                <w:right w:val="none" w:sz="0" w:space="0" w:color="auto"/>
              </w:divBdr>
            </w:div>
            <w:div w:id="2041199666">
              <w:marLeft w:val="0"/>
              <w:marRight w:val="0"/>
              <w:marTop w:val="0"/>
              <w:marBottom w:val="0"/>
              <w:divBdr>
                <w:top w:val="none" w:sz="0" w:space="0" w:color="auto"/>
                <w:left w:val="none" w:sz="0" w:space="0" w:color="auto"/>
                <w:bottom w:val="none" w:sz="0" w:space="0" w:color="auto"/>
                <w:right w:val="none" w:sz="0" w:space="0" w:color="auto"/>
              </w:divBdr>
            </w:div>
            <w:div w:id="1986425126">
              <w:marLeft w:val="0"/>
              <w:marRight w:val="0"/>
              <w:marTop w:val="0"/>
              <w:marBottom w:val="0"/>
              <w:divBdr>
                <w:top w:val="none" w:sz="0" w:space="0" w:color="auto"/>
                <w:left w:val="none" w:sz="0" w:space="0" w:color="auto"/>
                <w:bottom w:val="none" w:sz="0" w:space="0" w:color="auto"/>
                <w:right w:val="none" w:sz="0" w:space="0" w:color="auto"/>
              </w:divBdr>
            </w:div>
            <w:div w:id="1728215184">
              <w:marLeft w:val="0"/>
              <w:marRight w:val="0"/>
              <w:marTop w:val="0"/>
              <w:marBottom w:val="0"/>
              <w:divBdr>
                <w:top w:val="none" w:sz="0" w:space="0" w:color="auto"/>
                <w:left w:val="none" w:sz="0" w:space="0" w:color="auto"/>
                <w:bottom w:val="none" w:sz="0" w:space="0" w:color="auto"/>
                <w:right w:val="none" w:sz="0" w:space="0" w:color="auto"/>
              </w:divBdr>
            </w:div>
            <w:div w:id="1510631500">
              <w:marLeft w:val="0"/>
              <w:marRight w:val="0"/>
              <w:marTop w:val="0"/>
              <w:marBottom w:val="0"/>
              <w:divBdr>
                <w:top w:val="none" w:sz="0" w:space="0" w:color="auto"/>
                <w:left w:val="none" w:sz="0" w:space="0" w:color="auto"/>
                <w:bottom w:val="none" w:sz="0" w:space="0" w:color="auto"/>
                <w:right w:val="none" w:sz="0" w:space="0" w:color="auto"/>
              </w:divBdr>
            </w:div>
            <w:div w:id="1515194902">
              <w:marLeft w:val="0"/>
              <w:marRight w:val="0"/>
              <w:marTop w:val="0"/>
              <w:marBottom w:val="0"/>
              <w:divBdr>
                <w:top w:val="none" w:sz="0" w:space="0" w:color="auto"/>
                <w:left w:val="none" w:sz="0" w:space="0" w:color="auto"/>
                <w:bottom w:val="none" w:sz="0" w:space="0" w:color="auto"/>
                <w:right w:val="none" w:sz="0" w:space="0" w:color="auto"/>
              </w:divBdr>
            </w:div>
            <w:div w:id="72708186">
              <w:marLeft w:val="0"/>
              <w:marRight w:val="0"/>
              <w:marTop w:val="0"/>
              <w:marBottom w:val="0"/>
              <w:divBdr>
                <w:top w:val="none" w:sz="0" w:space="0" w:color="auto"/>
                <w:left w:val="none" w:sz="0" w:space="0" w:color="auto"/>
                <w:bottom w:val="none" w:sz="0" w:space="0" w:color="auto"/>
                <w:right w:val="none" w:sz="0" w:space="0" w:color="auto"/>
              </w:divBdr>
            </w:div>
            <w:div w:id="1139033933">
              <w:marLeft w:val="0"/>
              <w:marRight w:val="0"/>
              <w:marTop w:val="0"/>
              <w:marBottom w:val="0"/>
              <w:divBdr>
                <w:top w:val="none" w:sz="0" w:space="0" w:color="auto"/>
                <w:left w:val="none" w:sz="0" w:space="0" w:color="auto"/>
                <w:bottom w:val="none" w:sz="0" w:space="0" w:color="auto"/>
                <w:right w:val="none" w:sz="0" w:space="0" w:color="auto"/>
              </w:divBdr>
            </w:div>
            <w:div w:id="2128546510">
              <w:marLeft w:val="0"/>
              <w:marRight w:val="0"/>
              <w:marTop w:val="0"/>
              <w:marBottom w:val="0"/>
              <w:divBdr>
                <w:top w:val="none" w:sz="0" w:space="0" w:color="auto"/>
                <w:left w:val="none" w:sz="0" w:space="0" w:color="auto"/>
                <w:bottom w:val="none" w:sz="0" w:space="0" w:color="auto"/>
                <w:right w:val="none" w:sz="0" w:space="0" w:color="auto"/>
              </w:divBdr>
            </w:div>
            <w:div w:id="407922339">
              <w:marLeft w:val="0"/>
              <w:marRight w:val="0"/>
              <w:marTop w:val="0"/>
              <w:marBottom w:val="0"/>
              <w:divBdr>
                <w:top w:val="none" w:sz="0" w:space="0" w:color="auto"/>
                <w:left w:val="none" w:sz="0" w:space="0" w:color="auto"/>
                <w:bottom w:val="none" w:sz="0" w:space="0" w:color="auto"/>
                <w:right w:val="none" w:sz="0" w:space="0" w:color="auto"/>
              </w:divBdr>
            </w:div>
            <w:div w:id="460542602">
              <w:marLeft w:val="0"/>
              <w:marRight w:val="0"/>
              <w:marTop w:val="0"/>
              <w:marBottom w:val="0"/>
              <w:divBdr>
                <w:top w:val="none" w:sz="0" w:space="0" w:color="auto"/>
                <w:left w:val="none" w:sz="0" w:space="0" w:color="auto"/>
                <w:bottom w:val="none" w:sz="0" w:space="0" w:color="auto"/>
                <w:right w:val="none" w:sz="0" w:space="0" w:color="auto"/>
              </w:divBdr>
            </w:div>
            <w:div w:id="454065057">
              <w:marLeft w:val="0"/>
              <w:marRight w:val="0"/>
              <w:marTop w:val="0"/>
              <w:marBottom w:val="0"/>
              <w:divBdr>
                <w:top w:val="none" w:sz="0" w:space="0" w:color="auto"/>
                <w:left w:val="none" w:sz="0" w:space="0" w:color="auto"/>
                <w:bottom w:val="none" w:sz="0" w:space="0" w:color="auto"/>
                <w:right w:val="none" w:sz="0" w:space="0" w:color="auto"/>
              </w:divBdr>
            </w:div>
            <w:div w:id="1826782049">
              <w:marLeft w:val="0"/>
              <w:marRight w:val="0"/>
              <w:marTop w:val="0"/>
              <w:marBottom w:val="0"/>
              <w:divBdr>
                <w:top w:val="none" w:sz="0" w:space="0" w:color="auto"/>
                <w:left w:val="none" w:sz="0" w:space="0" w:color="auto"/>
                <w:bottom w:val="none" w:sz="0" w:space="0" w:color="auto"/>
                <w:right w:val="none" w:sz="0" w:space="0" w:color="auto"/>
              </w:divBdr>
            </w:div>
            <w:div w:id="1626692224">
              <w:marLeft w:val="0"/>
              <w:marRight w:val="0"/>
              <w:marTop w:val="0"/>
              <w:marBottom w:val="0"/>
              <w:divBdr>
                <w:top w:val="none" w:sz="0" w:space="0" w:color="auto"/>
                <w:left w:val="none" w:sz="0" w:space="0" w:color="auto"/>
                <w:bottom w:val="none" w:sz="0" w:space="0" w:color="auto"/>
                <w:right w:val="none" w:sz="0" w:space="0" w:color="auto"/>
              </w:divBdr>
            </w:div>
            <w:div w:id="2095858174">
              <w:marLeft w:val="0"/>
              <w:marRight w:val="0"/>
              <w:marTop w:val="0"/>
              <w:marBottom w:val="0"/>
              <w:divBdr>
                <w:top w:val="none" w:sz="0" w:space="0" w:color="auto"/>
                <w:left w:val="none" w:sz="0" w:space="0" w:color="auto"/>
                <w:bottom w:val="none" w:sz="0" w:space="0" w:color="auto"/>
                <w:right w:val="none" w:sz="0" w:space="0" w:color="auto"/>
              </w:divBdr>
            </w:div>
            <w:div w:id="994382881">
              <w:marLeft w:val="0"/>
              <w:marRight w:val="0"/>
              <w:marTop w:val="0"/>
              <w:marBottom w:val="0"/>
              <w:divBdr>
                <w:top w:val="none" w:sz="0" w:space="0" w:color="auto"/>
                <w:left w:val="none" w:sz="0" w:space="0" w:color="auto"/>
                <w:bottom w:val="none" w:sz="0" w:space="0" w:color="auto"/>
                <w:right w:val="none" w:sz="0" w:space="0" w:color="auto"/>
              </w:divBdr>
            </w:div>
            <w:div w:id="1259290431">
              <w:marLeft w:val="0"/>
              <w:marRight w:val="0"/>
              <w:marTop w:val="0"/>
              <w:marBottom w:val="0"/>
              <w:divBdr>
                <w:top w:val="none" w:sz="0" w:space="0" w:color="auto"/>
                <w:left w:val="none" w:sz="0" w:space="0" w:color="auto"/>
                <w:bottom w:val="none" w:sz="0" w:space="0" w:color="auto"/>
                <w:right w:val="none" w:sz="0" w:space="0" w:color="auto"/>
              </w:divBdr>
            </w:div>
            <w:div w:id="2127264779">
              <w:marLeft w:val="0"/>
              <w:marRight w:val="0"/>
              <w:marTop w:val="0"/>
              <w:marBottom w:val="0"/>
              <w:divBdr>
                <w:top w:val="none" w:sz="0" w:space="0" w:color="auto"/>
                <w:left w:val="none" w:sz="0" w:space="0" w:color="auto"/>
                <w:bottom w:val="none" w:sz="0" w:space="0" w:color="auto"/>
                <w:right w:val="none" w:sz="0" w:space="0" w:color="auto"/>
              </w:divBdr>
            </w:div>
            <w:div w:id="1564294104">
              <w:marLeft w:val="0"/>
              <w:marRight w:val="0"/>
              <w:marTop w:val="0"/>
              <w:marBottom w:val="0"/>
              <w:divBdr>
                <w:top w:val="none" w:sz="0" w:space="0" w:color="auto"/>
                <w:left w:val="none" w:sz="0" w:space="0" w:color="auto"/>
                <w:bottom w:val="none" w:sz="0" w:space="0" w:color="auto"/>
                <w:right w:val="none" w:sz="0" w:space="0" w:color="auto"/>
              </w:divBdr>
            </w:div>
            <w:div w:id="1457215666">
              <w:marLeft w:val="0"/>
              <w:marRight w:val="0"/>
              <w:marTop w:val="0"/>
              <w:marBottom w:val="0"/>
              <w:divBdr>
                <w:top w:val="none" w:sz="0" w:space="0" w:color="auto"/>
                <w:left w:val="none" w:sz="0" w:space="0" w:color="auto"/>
                <w:bottom w:val="none" w:sz="0" w:space="0" w:color="auto"/>
                <w:right w:val="none" w:sz="0" w:space="0" w:color="auto"/>
              </w:divBdr>
            </w:div>
            <w:div w:id="1143081172">
              <w:marLeft w:val="0"/>
              <w:marRight w:val="0"/>
              <w:marTop w:val="0"/>
              <w:marBottom w:val="0"/>
              <w:divBdr>
                <w:top w:val="none" w:sz="0" w:space="0" w:color="auto"/>
                <w:left w:val="none" w:sz="0" w:space="0" w:color="auto"/>
                <w:bottom w:val="none" w:sz="0" w:space="0" w:color="auto"/>
                <w:right w:val="none" w:sz="0" w:space="0" w:color="auto"/>
              </w:divBdr>
            </w:div>
            <w:div w:id="1384793247">
              <w:marLeft w:val="0"/>
              <w:marRight w:val="0"/>
              <w:marTop w:val="0"/>
              <w:marBottom w:val="0"/>
              <w:divBdr>
                <w:top w:val="none" w:sz="0" w:space="0" w:color="auto"/>
                <w:left w:val="none" w:sz="0" w:space="0" w:color="auto"/>
                <w:bottom w:val="none" w:sz="0" w:space="0" w:color="auto"/>
                <w:right w:val="none" w:sz="0" w:space="0" w:color="auto"/>
              </w:divBdr>
              <w:divsChild>
                <w:div w:id="812214076">
                  <w:marLeft w:val="0"/>
                  <w:marRight w:val="0"/>
                  <w:marTop w:val="0"/>
                  <w:marBottom w:val="0"/>
                  <w:divBdr>
                    <w:top w:val="none" w:sz="0" w:space="0" w:color="auto"/>
                    <w:left w:val="none" w:sz="0" w:space="0" w:color="auto"/>
                    <w:bottom w:val="none" w:sz="0" w:space="0" w:color="auto"/>
                    <w:right w:val="none" w:sz="0" w:space="0" w:color="auto"/>
                  </w:divBdr>
                </w:div>
                <w:div w:id="15694455">
                  <w:marLeft w:val="0"/>
                  <w:marRight w:val="0"/>
                  <w:marTop w:val="0"/>
                  <w:marBottom w:val="0"/>
                  <w:divBdr>
                    <w:top w:val="none" w:sz="0" w:space="0" w:color="auto"/>
                    <w:left w:val="none" w:sz="0" w:space="0" w:color="auto"/>
                    <w:bottom w:val="none" w:sz="0" w:space="0" w:color="auto"/>
                    <w:right w:val="none" w:sz="0" w:space="0" w:color="auto"/>
                  </w:divBdr>
                </w:div>
              </w:divsChild>
            </w:div>
            <w:div w:id="884027391">
              <w:marLeft w:val="0"/>
              <w:marRight w:val="0"/>
              <w:marTop w:val="0"/>
              <w:marBottom w:val="0"/>
              <w:divBdr>
                <w:top w:val="none" w:sz="0" w:space="0" w:color="auto"/>
                <w:left w:val="none" w:sz="0" w:space="0" w:color="auto"/>
                <w:bottom w:val="none" w:sz="0" w:space="0" w:color="auto"/>
                <w:right w:val="none" w:sz="0" w:space="0" w:color="auto"/>
              </w:divBdr>
            </w:div>
            <w:div w:id="164974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ervice.most.gov.cn/u/cms/static/202107/%E6%8C%87%E5%8D%97%E7%BC%96%E5%88%B6%E4%B8%93%E5%AE%B6_2021070615591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rvice.most.gov.cn/u/cms/static/202107/%E5%BD%A2%E5%BC%8F%E5%AE%A1%E6%9F%A5%E8%A6%81%E6%B1%82_20210706155855.pdf" TargetMode="External"/><Relationship Id="rId5" Type="http://schemas.openxmlformats.org/officeDocument/2006/relationships/hyperlink" Target="https://service.most.gov.cn/u/cms/static/202107/%E7%A7%91%E6%8A%80%E5%88%9B%E6%96%B02030%E2%80%94%E2%80%9C%E6%96%B0%E4%B8%80%E4%BB%A3%E4%BA%BA%E5%B7%A5%E6%99%BA%E8%83%BD%E2%80%9D%E9%87%8D%E5%A4%A7%E9%A1%B9%E7%9B%AE2021%E5%B9%B4%E5%BA%A6%E9%A1%B9%E7%9B%AE%E7%94%B3%E6%8A%A5%E6%8C%87%E5%8D%97_20210706155840.pdf" TargetMode="External"/><Relationship Id="rId4" Type="http://schemas.openxmlformats.org/officeDocument/2006/relationships/hyperlink" Target="mailto:program@istic.ac.cn%E3%80%82" TargetMode="Externa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587</Words>
  <Characters>3351</Characters>
  <Application>Microsoft Office Word</Application>
  <DocSecurity>0</DocSecurity>
  <Lines>27</Lines>
  <Paragraphs>7</Paragraphs>
  <ScaleCrop>false</ScaleCrop>
  <Company>Microsoft</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陈伟峰</dc:creator>
  <cp:keywords/>
  <dc:description/>
  <cp:lastModifiedBy>陈伟峰</cp:lastModifiedBy>
  <cp:revision>3</cp:revision>
  <dcterms:created xsi:type="dcterms:W3CDTF">2021-07-14T07:39:00Z</dcterms:created>
  <dcterms:modified xsi:type="dcterms:W3CDTF">2021-07-14T07:40:00Z</dcterms:modified>
</cp:coreProperties>
</file>